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0B68C" w14:textId="77777777" w:rsidR="00152094" w:rsidRPr="0065421A" w:rsidRDefault="00152094" w:rsidP="00152094">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t>嘉義市政府文化局</w:t>
      </w:r>
    </w:p>
    <w:p w14:paraId="43680EDF" w14:textId="77777777" w:rsidR="00152094" w:rsidRPr="0065421A" w:rsidRDefault="00152094" w:rsidP="00152094">
      <w:pPr>
        <w:pStyle w:val="Default"/>
        <w:spacing w:line="360" w:lineRule="auto"/>
        <w:jc w:val="center"/>
        <w:outlineLvl w:val="0"/>
        <w:rPr>
          <w:rFonts w:ascii="標楷體" w:eastAsia="標楷體" w:hAnsi="標楷體"/>
          <w:b/>
          <w:bCs/>
          <w:color w:val="000000" w:themeColor="text1"/>
          <w:sz w:val="28"/>
          <w:szCs w:val="28"/>
        </w:rPr>
      </w:pPr>
      <w:r w:rsidRPr="0065421A">
        <w:rPr>
          <w:rFonts w:ascii="標楷體" w:eastAsia="標楷體" w:hAnsi="標楷體" w:hint="eastAsia"/>
          <w:b/>
          <w:bCs/>
          <w:color w:val="000000" w:themeColor="text1"/>
          <w:sz w:val="28"/>
          <w:szCs w:val="28"/>
        </w:rPr>
        <w:t>嘉義市立博物館</w:t>
      </w:r>
      <w:proofErr w:type="gramStart"/>
      <w:r w:rsidRPr="0065421A">
        <w:rPr>
          <w:rFonts w:ascii="標楷體" w:eastAsia="標楷體" w:hAnsi="標楷體" w:hint="eastAsia"/>
          <w:b/>
          <w:bCs/>
          <w:color w:val="000000" w:themeColor="text1"/>
          <w:sz w:val="28"/>
          <w:szCs w:val="28"/>
        </w:rPr>
        <w:t>蒐</w:t>
      </w:r>
      <w:proofErr w:type="gramEnd"/>
      <w:r w:rsidRPr="0065421A">
        <w:rPr>
          <w:rFonts w:ascii="標楷體" w:eastAsia="標楷體" w:hAnsi="標楷體" w:hint="eastAsia"/>
          <w:b/>
          <w:bCs/>
          <w:color w:val="000000" w:themeColor="text1"/>
          <w:sz w:val="28"/>
          <w:szCs w:val="28"/>
        </w:rPr>
        <w:t>藏政策</w:t>
      </w:r>
    </w:p>
    <w:p w14:paraId="0A0F5E27" w14:textId="77777777" w:rsidR="00152094" w:rsidRPr="0065421A" w:rsidRDefault="00152094" w:rsidP="00152094">
      <w:pPr>
        <w:pStyle w:val="Default"/>
        <w:spacing w:line="360" w:lineRule="auto"/>
        <w:jc w:val="right"/>
        <w:outlineLvl w:val="0"/>
        <w:rPr>
          <w:rFonts w:ascii="標楷體" w:eastAsia="標楷體" w:hAnsi="標楷體"/>
          <w:bCs/>
          <w:color w:val="000000" w:themeColor="text1"/>
          <w:sz w:val="16"/>
          <w:szCs w:val="20"/>
        </w:rPr>
      </w:pPr>
      <w:r w:rsidRPr="0065421A">
        <w:rPr>
          <w:rFonts w:ascii="標楷體" w:eastAsia="標楷體" w:hAnsi="標楷體" w:hint="eastAsia"/>
          <w:bCs/>
          <w:color w:val="000000" w:themeColor="text1"/>
          <w:sz w:val="16"/>
          <w:szCs w:val="20"/>
        </w:rPr>
        <w:t>中華民國111年7月29日嘉市文博字第1110700273號函頒</w:t>
      </w:r>
    </w:p>
    <w:p w14:paraId="0A9BA92E" w14:textId="77777777" w:rsidR="00152094" w:rsidRPr="0065421A" w:rsidRDefault="00152094" w:rsidP="00152094">
      <w:pPr>
        <w:pStyle w:val="Default"/>
        <w:numPr>
          <w:ilvl w:val="0"/>
          <w:numId w:val="1"/>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為使嘉義市立博物館</w:t>
      </w:r>
      <w:bookmarkStart w:id="0" w:name="_Hlk51926341"/>
      <w:r w:rsidRPr="0065421A">
        <w:rPr>
          <w:rFonts w:ascii="標楷體" w:eastAsia="標楷體" w:hAnsi="標楷體" w:hint="eastAsia"/>
          <w:color w:val="000000" w:themeColor="text1"/>
          <w:sz w:val="23"/>
          <w:szCs w:val="23"/>
        </w:rPr>
        <w:t>（</w:t>
      </w:r>
      <w:bookmarkEnd w:id="0"/>
      <w:r w:rsidRPr="0065421A">
        <w:rPr>
          <w:rFonts w:ascii="標楷體" w:eastAsia="標楷體" w:hAnsi="標楷體" w:hint="eastAsia"/>
          <w:color w:val="000000" w:themeColor="text1"/>
          <w:sz w:val="23"/>
          <w:szCs w:val="23"/>
        </w:rPr>
        <w:t>以下簡稱本館）之藏品及相關作業之管理有所依據，特訂定本</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藏政策。</w:t>
      </w:r>
    </w:p>
    <w:p w14:paraId="10B6073B" w14:textId="77777777" w:rsidR="00152094" w:rsidRPr="0065421A" w:rsidRDefault="00152094" w:rsidP="00152094">
      <w:pPr>
        <w:pStyle w:val="Default"/>
        <w:numPr>
          <w:ilvl w:val="0"/>
          <w:numId w:val="1"/>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本館之設立在於保存、活化及傳承嘉義地區之自然與文化資產，透過展示、教育活動及其他方式和大眾分享，使觀眾認識在地之自然、人文和工藝特色，期許本館成為市民終身學習之重要園地。</w:t>
      </w:r>
    </w:p>
    <w:p w14:paraId="32401AC8" w14:textId="77777777" w:rsidR="00152094" w:rsidRPr="0065421A" w:rsidRDefault="00152094" w:rsidP="00152094">
      <w:pPr>
        <w:pStyle w:val="Default"/>
        <w:numPr>
          <w:ilvl w:val="0"/>
          <w:numId w:val="1"/>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基於嘉義市政府文化局（以下簡稱本局）對轄屬各館之業務劃分，本館在未來依照本局之營運策略統籌本市各館之</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藏管理業務方向如下：</w:t>
      </w:r>
    </w:p>
    <w:p w14:paraId="605034E9" w14:textId="77777777" w:rsidR="00152094" w:rsidRPr="0065421A" w:rsidRDefault="00152094" w:rsidP="00152094">
      <w:pPr>
        <w:pStyle w:val="Default"/>
        <w:numPr>
          <w:ilvl w:val="1"/>
          <w:numId w:val="1"/>
        </w:numPr>
        <w:spacing w:line="360" w:lineRule="auto"/>
        <w:ind w:left="993" w:hanging="62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符合本館</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藏計畫、展示主題及教育活動而蒐集之自然史標本、具地方工藝特色之交</w:t>
      </w:r>
      <w:proofErr w:type="gramStart"/>
      <w:r w:rsidRPr="0065421A">
        <w:rPr>
          <w:rFonts w:ascii="標楷體" w:eastAsia="標楷體" w:hAnsi="標楷體" w:hint="eastAsia"/>
          <w:color w:val="000000" w:themeColor="text1"/>
          <w:sz w:val="23"/>
          <w:szCs w:val="23"/>
        </w:rPr>
        <w:t>趾</w:t>
      </w:r>
      <w:proofErr w:type="gramEnd"/>
      <w:r w:rsidRPr="0065421A">
        <w:rPr>
          <w:rFonts w:ascii="標楷體" w:eastAsia="標楷體" w:hAnsi="標楷體" w:hint="eastAsia"/>
          <w:color w:val="000000" w:themeColor="text1"/>
          <w:sz w:val="23"/>
          <w:szCs w:val="23"/>
        </w:rPr>
        <w:t>陶及石猴作品、常民文物、圖書文獻、口述歷史、影音及圖像資料等有形與無形文化資產。</w:t>
      </w:r>
    </w:p>
    <w:p w14:paraId="000AA8B6" w14:textId="77777777" w:rsidR="00152094" w:rsidRPr="0065421A" w:rsidRDefault="00152094" w:rsidP="00152094">
      <w:pPr>
        <w:pStyle w:val="Default"/>
        <w:numPr>
          <w:ilvl w:val="1"/>
          <w:numId w:val="1"/>
        </w:numPr>
        <w:spacing w:line="360" w:lineRule="auto"/>
        <w:ind w:left="851"/>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其他可用於開發展示新主題和教材教案以豐富市民終身學習資源之自然與文化資產。</w:t>
      </w:r>
    </w:p>
    <w:p w14:paraId="33F70E55" w14:textId="77777777" w:rsidR="00152094" w:rsidRPr="0065421A" w:rsidRDefault="00152094" w:rsidP="00152094">
      <w:pPr>
        <w:pStyle w:val="Default"/>
        <w:numPr>
          <w:ilvl w:val="0"/>
          <w:numId w:val="1"/>
        </w:numPr>
        <w:spacing w:line="360" w:lineRule="auto"/>
        <w:rPr>
          <w:rFonts w:ascii="標楷體" w:eastAsia="標楷體" w:hAnsi="標楷體"/>
          <w:color w:val="000000" w:themeColor="text1"/>
          <w:sz w:val="23"/>
          <w:szCs w:val="23"/>
        </w:rPr>
      </w:pPr>
      <w:bookmarkStart w:id="1" w:name="_Hlk50551301"/>
      <w:r w:rsidRPr="0065421A">
        <w:rPr>
          <w:rFonts w:ascii="標楷體" w:eastAsia="標楷體" w:hAnsi="標楷體" w:hint="eastAsia"/>
          <w:color w:val="000000" w:themeColor="text1"/>
          <w:sz w:val="23"/>
          <w:szCs w:val="23"/>
        </w:rPr>
        <w:t>本館藏品分為典藏品和教育性藏品：</w:t>
      </w:r>
    </w:p>
    <w:p w14:paraId="27ED9FE9" w14:textId="77777777" w:rsidR="00152094" w:rsidRPr="0065421A" w:rsidRDefault="00152094" w:rsidP="00152094">
      <w:pPr>
        <w:pStyle w:val="Default"/>
        <w:numPr>
          <w:ilvl w:val="1"/>
          <w:numId w:val="1"/>
        </w:numPr>
        <w:spacing w:line="360" w:lineRule="auto"/>
        <w:ind w:left="1134" w:hanging="65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典藏品：原始資料完備具研究價值者，入館後以「典藏品」登錄並給予登錄號(</w:t>
      </w:r>
      <w:r w:rsidRPr="0065421A">
        <w:rPr>
          <w:rFonts w:ascii="標楷體" w:eastAsia="標楷體" w:hAnsi="標楷體" w:cs="Calibri"/>
          <w:color w:val="000000" w:themeColor="text1"/>
          <w:sz w:val="23"/>
          <w:szCs w:val="23"/>
        </w:rPr>
        <w:t>accession number)</w:t>
      </w:r>
      <w:r w:rsidRPr="0065421A">
        <w:rPr>
          <w:rFonts w:ascii="標楷體" w:eastAsia="標楷體" w:hAnsi="標楷體" w:hint="eastAsia"/>
          <w:color w:val="000000" w:themeColor="text1"/>
          <w:sz w:val="23"/>
          <w:szCs w:val="23"/>
        </w:rPr>
        <w:t>和編目號(</w:t>
      </w:r>
      <w:r w:rsidRPr="0065421A">
        <w:rPr>
          <w:rFonts w:ascii="標楷體" w:eastAsia="標楷體" w:hAnsi="標楷體" w:cs="Calibri"/>
          <w:color w:val="000000" w:themeColor="text1"/>
          <w:sz w:val="23"/>
          <w:szCs w:val="23"/>
        </w:rPr>
        <w:t>catalogue number)</w:t>
      </w:r>
      <w:r w:rsidRPr="0065421A">
        <w:rPr>
          <w:rFonts w:ascii="標楷體" w:eastAsia="標楷體" w:hAnsi="標楷體" w:hint="eastAsia"/>
          <w:color w:val="000000" w:themeColor="text1"/>
          <w:sz w:val="23"/>
          <w:szCs w:val="23"/>
        </w:rPr>
        <w:t>；若遺失或</w:t>
      </w:r>
      <w:proofErr w:type="gramStart"/>
      <w:r w:rsidRPr="0065421A">
        <w:rPr>
          <w:rFonts w:ascii="標楷體" w:eastAsia="標楷體" w:hAnsi="標楷體" w:hint="eastAsia"/>
          <w:color w:val="000000" w:themeColor="text1"/>
          <w:sz w:val="23"/>
          <w:szCs w:val="23"/>
        </w:rPr>
        <w:t>損毀須經</w:t>
      </w:r>
      <w:proofErr w:type="gramEnd"/>
      <w:r w:rsidRPr="0065421A">
        <w:rPr>
          <w:rFonts w:ascii="標楷體" w:eastAsia="標楷體" w:hAnsi="標楷體" w:hint="eastAsia"/>
          <w:color w:val="000000" w:themeColor="text1"/>
          <w:sz w:val="23"/>
          <w:szCs w:val="23"/>
        </w:rPr>
        <w:t>典藏品註銷程序辦理。</w:t>
      </w:r>
    </w:p>
    <w:p w14:paraId="621C6444" w14:textId="77777777" w:rsidR="00152094" w:rsidRPr="0065421A" w:rsidRDefault="00152094" w:rsidP="00152094">
      <w:pPr>
        <w:pStyle w:val="Default"/>
        <w:numPr>
          <w:ilvl w:val="1"/>
          <w:numId w:val="1"/>
        </w:numPr>
        <w:spacing w:line="360" w:lineRule="auto"/>
        <w:ind w:left="1134" w:hanging="652"/>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教育性藏品：不具研究價值但可用於展示或教育活動，入館後以「教育性藏品」（或稱非典藏品）登錄並給予非典藏品登錄號</w:t>
      </w:r>
      <w:r w:rsidRPr="0065421A">
        <w:rPr>
          <w:rFonts w:ascii="標楷體" w:eastAsia="標楷體" w:hAnsi="標楷體"/>
          <w:color w:val="000000" w:themeColor="text1"/>
          <w:sz w:val="23"/>
          <w:szCs w:val="23"/>
        </w:rPr>
        <w:t>(non-accession number)</w:t>
      </w:r>
      <w:r w:rsidRPr="0065421A">
        <w:rPr>
          <w:rFonts w:ascii="標楷體" w:eastAsia="標楷體" w:hAnsi="標楷體" w:hint="eastAsia"/>
          <w:color w:val="000000" w:themeColor="text1"/>
          <w:sz w:val="23"/>
          <w:szCs w:val="23"/>
        </w:rPr>
        <w:t>；若遺失或損毀毋須經典藏品註銷程序而以消耗性財產報銷之。</w:t>
      </w:r>
    </w:p>
    <w:bookmarkEnd w:id="1"/>
    <w:p w14:paraId="763F6E80" w14:textId="77777777" w:rsidR="00152094" w:rsidRPr="0065421A" w:rsidRDefault="00152094" w:rsidP="00152094">
      <w:pPr>
        <w:pStyle w:val="Default"/>
        <w:numPr>
          <w:ilvl w:val="0"/>
          <w:numId w:val="1"/>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倫理規範：本館對所有藏品都負有妥善保存、維護與利用之責並對館員及相關從業人員（包括全職、兼職、臨時人員及志工等）有以下要求：</w:t>
      </w:r>
    </w:p>
    <w:p w14:paraId="7A7F109E" w14:textId="77777777" w:rsidR="00152094" w:rsidRPr="0065421A" w:rsidRDefault="00152094" w:rsidP="00152094">
      <w:pPr>
        <w:pStyle w:val="Default"/>
        <w:numPr>
          <w:ilvl w:val="1"/>
          <w:numId w:val="1"/>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一切與自身職責有所衝突之行為或可能有圖利自己或他人之情事皆應避免涉及。</w:t>
      </w:r>
    </w:p>
    <w:p w14:paraId="77AD81CB" w14:textId="77777777" w:rsidR="00152094" w:rsidRPr="0065421A" w:rsidRDefault="00152094" w:rsidP="00152094">
      <w:pPr>
        <w:pStyle w:val="Default"/>
        <w:numPr>
          <w:ilvl w:val="1"/>
          <w:numId w:val="1"/>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有關藏品之蒐集、保存、複製、展示、購買、借貸、交換、運送或註銷等一切行為，都必須在合法且不違背博物館倫理的情況下進行。</w:t>
      </w:r>
    </w:p>
    <w:p w14:paraId="56594773" w14:textId="77777777" w:rsidR="00152094" w:rsidRPr="0065421A" w:rsidRDefault="00152094" w:rsidP="00152094">
      <w:pPr>
        <w:pStyle w:val="Default"/>
        <w:numPr>
          <w:ilvl w:val="1"/>
          <w:numId w:val="1"/>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在職期間不得從事與館藏業務相同之私人</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藏，惟祖傳繼承之</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藏不在此限。</w:t>
      </w:r>
    </w:p>
    <w:p w14:paraId="3A16E69C" w14:textId="77777777" w:rsidR="00152094" w:rsidRPr="0065421A" w:rsidRDefault="00152094" w:rsidP="00152094">
      <w:pPr>
        <w:pStyle w:val="Default"/>
        <w:numPr>
          <w:ilvl w:val="1"/>
          <w:numId w:val="1"/>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不得接受私人委託進行文物鑑定、估價或開立證明，亦不得與本館以外之個人或團體進行有關文物買賣等交易行為。</w:t>
      </w:r>
    </w:p>
    <w:p w14:paraId="1B99D4BA" w14:textId="77777777" w:rsidR="00152094" w:rsidRPr="0065421A" w:rsidRDefault="00152094" w:rsidP="00152094">
      <w:pPr>
        <w:pStyle w:val="Default"/>
        <w:numPr>
          <w:ilvl w:val="1"/>
          <w:numId w:val="1"/>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不得將私人物品置於本館典藏空間，或未經館方同意以本館設施進行私人物品之研究或修復。</w:t>
      </w:r>
    </w:p>
    <w:p w14:paraId="7782A62E" w14:textId="77777777" w:rsidR="00152094" w:rsidRPr="0065421A" w:rsidRDefault="00152094" w:rsidP="00152094">
      <w:pPr>
        <w:pStyle w:val="Default"/>
        <w:numPr>
          <w:ilvl w:val="1"/>
          <w:numId w:val="1"/>
        </w:numPr>
        <w:spacing w:line="360" w:lineRule="auto"/>
        <w:ind w:left="1134" w:hanging="654"/>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應遵守國際博物館協會(</w:t>
      </w:r>
      <w:r w:rsidRPr="0065421A">
        <w:rPr>
          <w:rFonts w:ascii="標楷體" w:eastAsia="標楷體" w:hAnsi="標楷體"/>
          <w:color w:val="000000" w:themeColor="text1"/>
          <w:sz w:val="23"/>
          <w:szCs w:val="23"/>
        </w:rPr>
        <w:t>International Council of Museums,</w:t>
      </w:r>
      <w:r w:rsidRPr="0065421A">
        <w:rPr>
          <w:rFonts w:ascii="標楷體" w:eastAsia="標楷體" w:hAnsi="標楷體" w:hint="eastAsia"/>
          <w:color w:val="000000" w:themeColor="text1"/>
          <w:sz w:val="23"/>
          <w:szCs w:val="23"/>
        </w:rPr>
        <w:t xml:space="preserve"> </w:t>
      </w:r>
      <w:r w:rsidRPr="0065421A">
        <w:rPr>
          <w:rFonts w:ascii="標楷體" w:eastAsia="標楷體" w:hAnsi="標楷體"/>
          <w:color w:val="000000" w:themeColor="text1"/>
          <w:sz w:val="23"/>
          <w:szCs w:val="23"/>
        </w:rPr>
        <w:t>ICOM)</w:t>
      </w:r>
      <w:r w:rsidRPr="0065421A">
        <w:rPr>
          <w:rFonts w:ascii="標楷體" w:eastAsia="標楷體" w:hAnsi="標楷體" w:hint="eastAsia"/>
          <w:color w:val="000000" w:themeColor="text1"/>
          <w:sz w:val="23"/>
          <w:szCs w:val="23"/>
        </w:rPr>
        <w:t>頒布之博物館倫理規範</w:t>
      </w:r>
      <w:r w:rsidRPr="0065421A">
        <w:rPr>
          <w:rFonts w:ascii="標楷體" w:eastAsia="標楷體" w:hAnsi="標楷體" w:hint="eastAsia"/>
          <w:color w:val="000000" w:themeColor="text1"/>
          <w:sz w:val="23"/>
          <w:szCs w:val="23"/>
        </w:rPr>
        <w:lastRenderedPageBreak/>
        <w:t>(ICOM Code of Ethics for Museums)。</w:t>
      </w:r>
    </w:p>
    <w:p w14:paraId="6A2E1EE8" w14:textId="77777777" w:rsidR="00152094" w:rsidRPr="0065421A" w:rsidRDefault="00152094" w:rsidP="00152094">
      <w:pPr>
        <w:pStyle w:val="Default"/>
        <w:numPr>
          <w:ilvl w:val="0"/>
          <w:numId w:val="1"/>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本政策未盡事宜悉依博物館法、文化資產保存法、政府採購法、中央政府珍貴動產不動產管理要點、公立博物館典藏品盤點作業辦法及其他相關規定辦理。</w:t>
      </w:r>
    </w:p>
    <w:p w14:paraId="06648F37" w14:textId="77777777" w:rsidR="00152094" w:rsidRPr="0065421A" w:rsidRDefault="00152094" w:rsidP="00152094">
      <w:pPr>
        <w:pStyle w:val="Default"/>
        <w:numPr>
          <w:ilvl w:val="0"/>
          <w:numId w:val="1"/>
        </w:numPr>
        <w:spacing w:line="360" w:lineRule="auto"/>
        <w:rPr>
          <w:rFonts w:ascii="標楷體" w:eastAsia="標楷體" w:hAnsi="標楷體"/>
          <w:color w:val="000000" w:themeColor="text1"/>
          <w:sz w:val="23"/>
          <w:szCs w:val="23"/>
        </w:rPr>
      </w:pPr>
      <w:r w:rsidRPr="0065421A">
        <w:rPr>
          <w:rFonts w:ascii="標楷體" w:eastAsia="標楷體" w:hAnsi="標楷體" w:hint="eastAsia"/>
          <w:color w:val="000000" w:themeColor="text1"/>
          <w:sz w:val="23"/>
          <w:szCs w:val="23"/>
        </w:rPr>
        <w:t>本政策經</w:t>
      </w:r>
      <w:proofErr w:type="gramStart"/>
      <w:r w:rsidRPr="0065421A">
        <w:rPr>
          <w:rFonts w:ascii="標楷體" w:eastAsia="標楷體" w:hAnsi="標楷體" w:hint="eastAsia"/>
          <w:color w:val="000000" w:themeColor="text1"/>
          <w:sz w:val="23"/>
          <w:szCs w:val="23"/>
        </w:rPr>
        <w:t>蒐</w:t>
      </w:r>
      <w:proofErr w:type="gramEnd"/>
      <w:r w:rsidRPr="0065421A">
        <w:rPr>
          <w:rFonts w:ascii="標楷體" w:eastAsia="標楷體" w:hAnsi="標楷體" w:hint="eastAsia"/>
          <w:color w:val="000000" w:themeColor="text1"/>
          <w:sz w:val="23"/>
          <w:szCs w:val="23"/>
        </w:rPr>
        <w:t>藏審議委員會審議及文化局局長核定後實施，修訂時亦同。</w:t>
      </w:r>
    </w:p>
    <w:p w14:paraId="5AD6D7CB" w14:textId="77777777" w:rsidR="00152094" w:rsidRPr="0065421A" w:rsidRDefault="00152094" w:rsidP="00152094">
      <w:pPr>
        <w:pStyle w:val="Default"/>
        <w:spacing w:line="360" w:lineRule="auto"/>
        <w:rPr>
          <w:rFonts w:ascii="標楷體" w:eastAsia="標楷體" w:hAnsi="標楷體"/>
          <w:color w:val="000000" w:themeColor="text1"/>
          <w:sz w:val="23"/>
          <w:szCs w:val="23"/>
        </w:rPr>
      </w:pPr>
    </w:p>
    <w:p w14:paraId="7F216407" w14:textId="77777777" w:rsidR="00152094" w:rsidRPr="0065421A" w:rsidRDefault="00152094" w:rsidP="00152094">
      <w:pPr>
        <w:spacing w:line="360" w:lineRule="auto"/>
        <w:rPr>
          <w:rFonts w:ascii="標楷體" w:eastAsia="標楷體" w:hAnsi="標楷體"/>
          <w:color w:val="000000" w:themeColor="text1"/>
        </w:rPr>
      </w:pPr>
    </w:p>
    <w:p w14:paraId="3F076637" w14:textId="77777777" w:rsidR="00152094" w:rsidRPr="0065421A" w:rsidRDefault="00152094" w:rsidP="00152094">
      <w:pPr>
        <w:spacing w:line="360" w:lineRule="auto"/>
        <w:rPr>
          <w:rFonts w:ascii="標楷體" w:eastAsia="標楷體" w:hAnsi="標楷體"/>
          <w:color w:val="000000" w:themeColor="text1"/>
        </w:rPr>
      </w:pPr>
    </w:p>
    <w:p w14:paraId="19E9279F" w14:textId="77777777" w:rsidR="00152094" w:rsidRPr="0065421A" w:rsidRDefault="00152094" w:rsidP="00152094">
      <w:pPr>
        <w:spacing w:line="360" w:lineRule="auto"/>
        <w:rPr>
          <w:rFonts w:ascii="標楷體" w:eastAsia="標楷體" w:hAnsi="標楷體"/>
          <w:color w:val="000000" w:themeColor="text1"/>
        </w:rPr>
      </w:pPr>
    </w:p>
    <w:p w14:paraId="20A1B7DC" w14:textId="77777777" w:rsidR="00152094" w:rsidRPr="0065421A" w:rsidRDefault="00152094" w:rsidP="00152094">
      <w:pPr>
        <w:spacing w:line="360" w:lineRule="auto"/>
        <w:rPr>
          <w:rFonts w:ascii="標楷體" w:eastAsia="標楷體" w:hAnsi="標楷體"/>
          <w:color w:val="000000" w:themeColor="text1"/>
        </w:rPr>
      </w:pPr>
    </w:p>
    <w:p w14:paraId="77173621" w14:textId="77777777" w:rsidR="00152094" w:rsidRPr="0065421A" w:rsidRDefault="00152094" w:rsidP="00152094">
      <w:pPr>
        <w:spacing w:line="360" w:lineRule="auto"/>
        <w:rPr>
          <w:rFonts w:ascii="標楷體" w:eastAsia="標楷體" w:hAnsi="標楷體"/>
          <w:color w:val="000000" w:themeColor="text1"/>
        </w:rPr>
      </w:pPr>
    </w:p>
    <w:p w14:paraId="50848D91" w14:textId="77777777" w:rsidR="00152094" w:rsidRPr="0065421A" w:rsidRDefault="00152094" w:rsidP="00152094">
      <w:pPr>
        <w:spacing w:line="360" w:lineRule="auto"/>
        <w:rPr>
          <w:rFonts w:ascii="標楷體" w:eastAsia="標楷體" w:hAnsi="標楷體"/>
          <w:color w:val="000000" w:themeColor="text1"/>
        </w:rPr>
      </w:pPr>
    </w:p>
    <w:p w14:paraId="0837DE01" w14:textId="77777777" w:rsidR="00152094" w:rsidRPr="0065421A" w:rsidRDefault="00152094" w:rsidP="00152094">
      <w:pPr>
        <w:spacing w:line="360" w:lineRule="auto"/>
        <w:rPr>
          <w:rFonts w:ascii="標楷體" w:eastAsia="標楷體" w:hAnsi="標楷體"/>
          <w:color w:val="000000" w:themeColor="text1"/>
        </w:rPr>
      </w:pPr>
    </w:p>
    <w:p w14:paraId="624C762C" w14:textId="77777777" w:rsidR="00152094" w:rsidRPr="0065421A" w:rsidRDefault="00152094" w:rsidP="00152094">
      <w:pPr>
        <w:spacing w:line="360" w:lineRule="auto"/>
        <w:rPr>
          <w:rFonts w:ascii="標楷體" w:eastAsia="標楷體" w:hAnsi="標楷體"/>
          <w:color w:val="000000" w:themeColor="text1"/>
        </w:rPr>
      </w:pPr>
    </w:p>
    <w:p w14:paraId="2A5E5D76" w14:textId="77777777" w:rsidR="00152094" w:rsidRPr="0065421A" w:rsidRDefault="00152094" w:rsidP="00152094">
      <w:pPr>
        <w:spacing w:line="360" w:lineRule="auto"/>
        <w:rPr>
          <w:rFonts w:ascii="標楷體" w:eastAsia="標楷體" w:hAnsi="標楷體"/>
          <w:color w:val="000000" w:themeColor="text1"/>
        </w:rPr>
      </w:pPr>
    </w:p>
    <w:p w14:paraId="01344BCB" w14:textId="77777777" w:rsidR="00152094" w:rsidRPr="0065421A" w:rsidRDefault="00152094" w:rsidP="00152094">
      <w:pPr>
        <w:spacing w:line="360" w:lineRule="auto"/>
        <w:rPr>
          <w:rFonts w:ascii="標楷體" w:eastAsia="標楷體" w:hAnsi="標楷體"/>
          <w:color w:val="000000" w:themeColor="text1"/>
        </w:rPr>
      </w:pPr>
    </w:p>
    <w:p w14:paraId="4E4C48A4" w14:textId="77777777" w:rsidR="00152094" w:rsidRPr="0065421A" w:rsidRDefault="00152094" w:rsidP="00152094">
      <w:pPr>
        <w:spacing w:line="360" w:lineRule="auto"/>
        <w:rPr>
          <w:rFonts w:ascii="標楷體" w:eastAsia="標楷體" w:hAnsi="標楷體"/>
          <w:color w:val="000000" w:themeColor="text1"/>
        </w:rPr>
      </w:pPr>
    </w:p>
    <w:p w14:paraId="5F8BA7A0" w14:textId="77777777" w:rsidR="00152094" w:rsidRPr="0065421A" w:rsidRDefault="00152094" w:rsidP="00152094">
      <w:pPr>
        <w:spacing w:line="360" w:lineRule="auto"/>
        <w:rPr>
          <w:rFonts w:ascii="標楷體" w:eastAsia="標楷體" w:hAnsi="標楷體"/>
          <w:color w:val="000000" w:themeColor="text1"/>
        </w:rPr>
      </w:pPr>
    </w:p>
    <w:p w14:paraId="0BAA8796" w14:textId="77777777" w:rsidR="00152094" w:rsidRPr="0065421A" w:rsidRDefault="00152094" w:rsidP="00152094">
      <w:pPr>
        <w:spacing w:line="360" w:lineRule="auto"/>
        <w:rPr>
          <w:rFonts w:ascii="標楷體" w:eastAsia="標楷體" w:hAnsi="標楷體"/>
          <w:color w:val="000000" w:themeColor="text1"/>
        </w:rPr>
      </w:pPr>
    </w:p>
    <w:p w14:paraId="28202C88" w14:textId="77777777" w:rsidR="00152094" w:rsidRPr="0065421A" w:rsidRDefault="00152094" w:rsidP="00152094">
      <w:pPr>
        <w:spacing w:line="360" w:lineRule="auto"/>
        <w:rPr>
          <w:rFonts w:ascii="標楷體" w:eastAsia="標楷體" w:hAnsi="標楷體"/>
          <w:color w:val="000000" w:themeColor="text1"/>
        </w:rPr>
      </w:pPr>
    </w:p>
    <w:p w14:paraId="7559293B" w14:textId="77777777" w:rsidR="00152094" w:rsidRPr="0065421A" w:rsidRDefault="00152094" w:rsidP="00152094">
      <w:pPr>
        <w:spacing w:line="360" w:lineRule="auto"/>
        <w:rPr>
          <w:rFonts w:ascii="標楷體" w:eastAsia="標楷體" w:hAnsi="標楷體"/>
          <w:color w:val="000000" w:themeColor="text1"/>
        </w:rPr>
      </w:pPr>
    </w:p>
    <w:p w14:paraId="788FB5BD" w14:textId="77777777" w:rsidR="00152094" w:rsidRPr="0065421A" w:rsidRDefault="00152094" w:rsidP="00152094">
      <w:pPr>
        <w:spacing w:line="360" w:lineRule="auto"/>
        <w:rPr>
          <w:rFonts w:ascii="標楷體" w:eastAsia="標楷體" w:hAnsi="標楷體"/>
          <w:color w:val="000000" w:themeColor="text1"/>
        </w:rPr>
      </w:pPr>
    </w:p>
    <w:p w14:paraId="3C3C16DC" w14:textId="77777777" w:rsidR="00152094" w:rsidRPr="0065421A" w:rsidRDefault="00152094" w:rsidP="00152094">
      <w:pPr>
        <w:spacing w:line="360" w:lineRule="auto"/>
        <w:rPr>
          <w:rFonts w:ascii="標楷體" w:eastAsia="標楷體" w:hAnsi="標楷體"/>
          <w:color w:val="000000" w:themeColor="text1"/>
        </w:rPr>
      </w:pPr>
    </w:p>
    <w:p w14:paraId="6845D1DB" w14:textId="77777777" w:rsidR="00152094" w:rsidRPr="0065421A" w:rsidRDefault="00152094" w:rsidP="00152094">
      <w:pPr>
        <w:spacing w:line="360" w:lineRule="auto"/>
        <w:rPr>
          <w:rFonts w:ascii="標楷體" w:eastAsia="標楷體" w:hAnsi="標楷體"/>
          <w:color w:val="000000" w:themeColor="text1"/>
        </w:rPr>
      </w:pPr>
    </w:p>
    <w:p w14:paraId="5990B9E4" w14:textId="77777777" w:rsidR="00152094" w:rsidRPr="0065421A" w:rsidRDefault="00152094" w:rsidP="00152094">
      <w:pPr>
        <w:spacing w:line="360" w:lineRule="auto"/>
        <w:rPr>
          <w:rFonts w:ascii="標楷體" w:eastAsia="標楷體" w:hAnsi="標楷體"/>
          <w:color w:val="000000" w:themeColor="text1"/>
        </w:rPr>
      </w:pPr>
    </w:p>
    <w:p w14:paraId="203838EC" w14:textId="77777777" w:rsidR="00152094" w:rsidRPr="0065421A" w:rsidRDefault="00152094" w:rsidP="00152094">
      <w:pPr>
        <w:spacing w:line="360" w:lineRule="auto"/>
        <w:rPr>
          <w:rFonts w:ascii="標楷體" w:eastAsia="標楷體" w:hAnsi="標楷體"/>
          <w:color w:val="000000" w:themeColor="text1"/>
        </w:rPr>
      </w:pPr>
    </w:p>
    <w:p w14:paraId="27EC6817" w14:textId="77777777" w:rsidR="00152094" w:rsidRPr="0065421A" w:rsidRDefault="00152094" w:rsidP="00152094">
      <w:pPr>
        <w:spacing w:line="360" w:lineRule="auto"/>
        <w:rPr>
          <w:rFonts w:ascii="標楷體" w:eastAsia="標楷體" w:hAnsi="標楷體"/>
          <w:color w:val="000000" w:themeColor="text1"/>
        </w:rPr>
      </w:pPr>
    </w:p>
    <w:p w14:paraId="1753F088" w14:textId="77777777" w:rsidR="008D3A84" w:rsidRPr="00152094" w:rsidRDefault="008D3A84"/>
    <w:sectPr w:rsidR="008D3A84" w:rsidRPr="00152094" w:rsidSect="0015209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36082"/>
    <w:multiLevelType w:val="hybridMultilevel"/>
    <w:tmpl w:val="F7BC7222"/>
    <w:lvl w:ilvl="0" w:tplc="04090015">
      <w:start w:val="1"/>
      <w:numFmt w:val="taiwaneseCountingThousand"/>
      <w:lvlText w:val="%1、"/>
      <w:lvlJc w:val="left"/>
      <w:pPr>
        <w:ind w:left="480" w:hanging="480"/>
      </w:pPr>
    </w:lvl>
    <w:lvl w:ilvl="1" w:tplc="2E06135C">
      <w:start w:val="1"/>
      <w:numFmt w:val="taiwaneseCountingThousand"/>
      <w:suff w:val="space"/>
      <w:lvlText w:val="（%2）"/>
      <w:lvlJc w:val="left"/>
      <w:pPr>
        <w:ind w:left="960" w:hanging="480"/>
      </w:pPr>
      <w:rPr>
        <w:rFonts w:hint="eastAsia"/>
        <w:spacing w:val="-2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29360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94"/>
    <w:rsid w:val="00152094"/>
    <w:rsid w:val="00233E1D"/>
    <w:rsid w:val="008D3A84"/>
    <w:rsid w:val="00922EC8"/>
    <w:rsid w:val="00C8408C"/>
    <w:rsid w:val="00D65F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ABFF"/>
  <w15:chartTrackingRefBased/>
  <w15:docId w15:val="{6F6F8F25-0D57-482C-9D9C-B32175AF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094"/>
    <w:pPr>
      <w:widowControl w:val="0"/>
      <w:spacing w:after="0" w:line="240" w:lineRule="auto"/>
    </w:pPr>
    <w:rPr>
      <w:szCs w:val="22"/>
      <w14:ligatures w14:val="none"/>
    </w:rPr>
  </w:style>
  <w:style w:type="paragraph" w:styleId="1">
    <w:name w:val="heading 1"/>
    <w:basedOn w:val="a"/>
    <w:next w:val="a"/>
    <w:link w:val="10"/>
    <w:uiPriority w:val="9"/>
    <w:qFormat/>
    <w:rsid w:val="00152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094"/>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152094"/>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15209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52094"/>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152094"/>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52094"/>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152094"/>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52094"/>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152094"/>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152094"/>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152094"/>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152094"/>
    <w:rPr>
      <w:rFonts w:eastAsiaTheme="majorEastAsia" w:cstheme="majorBidi"/>
      <w:color w:val="2F5496" w:themeColor="accent1" w:themeShade="BF"/>
    </w:rPr>
  </w:style>
  <w:style w:type="character" w:customStyle="1" w:styleId="60">
    <w:name w:val="標題 6 字元"/>
    <w:basedOn w:val="a0"/>
    <w:link w:val="6"/>
    <w:uiPriority w:val="9"/>
    <w:semiHidden/>
    <w:rsid w:val="00152094"/>
    <w:rPr>
      <w:rFonts w:eastAsiaTheme="majorEastAsia" w:cstheme="majorBidi"/>
      <w:color w:val="595959" w:themeColor="text1" w:themeTint="A6"/>
    </w:rPr>
  </w:style>
  <w:style w:type="character" w:customStyle="1" w:styleId="70">
    <w:name w:val="標題 7 字元"/>
    <w:basedOn w:val="a0"/>
    <w:link w:val="7"/>
    <w:uiPriority w:val="9"/>
    <w:semiHidden/>
    <w:rsid w:val="00152094"/>
    <w:rPr>
      <w:rFonts w:eastAsiaTheme="majorEastAsia" w:cstheme="majorBidi"/>
      <w:color w:val="595959" w:themeColor="text1" w:themeTint="A6"/>
    </w:rPr>
  </w:style>
  <w:style w:type="character" w:customStyle="1" w:styleId="80">
    <w:name w:val="標題 8 字元"/>
    <w:basedOn w:val="a0"/>
    <w:link w:val="8"/>
    <w:uiPriority w:val="9"/>
    <w:semiHidden/>
    <w:rsid w:val="00152094"/>
    <w:rPr>
      <w:rFonts w:eastAsiaTheme="majorEastAsia" w:cstheme="majorBidi"/>
      <w:color w:val="272727" w:themeColor="text1" w:themeTint="D8"/>
    </w:rPr>
  </w:style>
  <w:style w:type="character" w:customStyle="1" w:styleId="90">
    <w:name w:val="標題 9 字元"/>
    <w:basedOn w:val="a0"/>
    <w:link w:val="9"/>
    <w:uiPriority w:val="9"/>
    <w:semiHidden/>
    <w:rsid w:val="00152094"/>
    <w:rPr>
      <w:rFonts w:eastAsiaTheme="majorEastAsia" w:cstheme="majorBidi"/>
      <w:color w:val="272727" w:themeColor="text1" w:themeTint="D8"/>
    </w:rPr>
  </w:style>
  <w:style w:type="paragraph" w:styleId="a3">
    <w:name w:val="Title"/>
    <w:basedOn w:val="a"/>
    <w:next w:val="a"/>
    <w:link w:val="a4"/>
    <w:uiPriority w:val="10"/>
    <w:qFormat/>
    <w:rsid w:val="001520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52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152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094"/>
    <w:pPr>
      <w:spacing w:before="160"/>
      <w:jc w:val="center"/>
    </w:pPr>
    <w:rPr>
      <w:i/>
      <w:iCs/>
      <w:color w:val="404040" w:themeColor="text1" w:themeTint="BF"/>
    </w:rPr>
  </w:style>
  <w:style w:type="character" w:customStyle="1" w:styleId="a8">
    <w:name w:val="引文 字元"/>
    <w:basedOn w:val="a0"/>
    <w:link w:val="a7"/>
    <w:uiPriority w:val="29"/>
    <w:rsid w:val="00152094"/>
    <w:rPr>
      <w:i/>
      <w:iCs/>
      <w:color w:val="404040" w:themeColor="text1" w:themeTint="BF"/>
    </w:rPr>
  </w:style>
  <w:style w:type="paragraph" w:styleId="a9">
    <w:name w:val="List Paragraph"/>
    <w:basedOn w:val="a"/>
    <w:uiPriority w:val="34"/>
    <w:qFormat/>
    <w:rsid w:val="00152094"/>
    <w:pPr>
      <w:ind w:left="720"/>
      <w:contextualSpacing/>
    </w:pPr>
  </w:style>
  <w:style w:type="character" w:styleId="aa">
    <w:name w:val="Intense Emphasis"/>
    <w:basedOn w:val="a0"/>
    <w:uiPriority w:val="21"/>
    <w:qFormat/>
    <w:rsid w:val="00152094"/>
    <w:rPr>
      <w:i/>
      <w:iCs/>
      <w:color w:val="2F5496" w:themeColor="accent1" w:themeShade="BF"/>
    </w:rPr>
  </w:style>
  <w:style w:type="paragraph" w:styleId="ab">
    <w:name w:val="Intense Quote"/>
    <w:basedOn w:val="a"/>
    <w:next w:val="a"/>
    <w:link w:val="ac"/>
    <w:uiPriority w:val="30"/>
    <w:qFormat/>
    <w:rsid w:val="00152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152094"/>
    <w:rPr>
      <w:i/>
      <w:iCs/>
      <w:color w:val="2F5496" w:themeColor="accent1" w:themeShade="BF"/>
    </w:rPr>
  </w:style>
  <w:style w:type="character" w:styleId="ad">
    <w:name w:val="Intense Reference"/>
    <w:basedOn w:val="a0"/>
    <w:uiPriority w:val="32"/>
    <w:qFormat/>
    <w:rsid w:val="00152094"/>
    <w:rPr>
      <w:b/>
      <w:bCs/>
      <w:smallCaps/>
      <w:color w:val="2F5496" w:themeColor="accent1" w:themeShade="BF"/>
      <w:spacing w:val="5"/>
    </w:rPr>
  </w:style>
  <w:style w:type="paragraph" w:customStyle="1" w:styleId="Default">
    <w:name w:val="Default"/>
    <w:rsid w:val="00152094"/>
    <w:pPr>
      <w:widowControl w:val="0"/>
      <w:autoSpaceDE w:val="0"/>
      <w:autoSpaceDN w:val="0"/>
      <w:adjustRightInd w:val="0"/>
      <w:spacing w:after="0" w:line="240" w:lineRule="auto"/>
    </w:pPr>
    <w:rPr>
      <w:rFonts w:ascii="新細明體" w:eastAsia="新細明體" w:cs="新細明體"/>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2025-04-30T07:28:00Z</dcterms:created>
  <dcterms:modified xsi:type="dcterms:W3CDTF">2025-04-30T07:29:00Z</dcterms:modified>
</cp:coreProperties>
</file>